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B" w:rsidRDefault="00F30C25" w:rsidP="00F30C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Ata da </w:t>
      </w:r>
      <w:r w:rsidR="00C91C4D">
        <w:rPr>
          <w:rFonts w:ascii="Tahoma" w:hAnsi="Tahoma" w:cs="Tahoma"/>
          <w:b/>
          <w:sz w:val="22"/>
        </w:rPr>
        <w:t>Segunda</w:t>
      </w:r>
      <w:r w:rsidRPr="00A00085">
        <w:rPr>
          <w:rFonts w:ascii="Tahoma" w:hAnsi="Tahoma" w:cs="Tahoma"/>
          <w:b/>
          <w:sz w:val="22"/>
        </w:rPr>
        <w:t xml:space="preserve"> Reunião</w:t>
      </w:r>
      <w:r>
        <w:rPr>
          <w:rFonts w:ascii="Tahoma" w:hAnsi="Tahoma" w:cs="Tahoma"/>
          <w:sz w:val="22"/>
        </w:rPr>
        <w:t xml:space="preserve"> do </w:t>
      </w:r>
      <w:r w:rsidRPr="00A00085">
        <w:rPr>
          <w:rFonts w:ascii="Tahoma" w:hAnsi="Tahoma" w:cs="Tahoma"/>
          <w:b/>
          <w:sz w:val="22"/>
        </w:rPr>
        <w:t>Comitê de Investimento</w:t>
      </w:r>
      <w:r>
        <w:rPr>
          <w:rFonts w:ascii="Tahoma" w:hAnsi="Tahoma" w:cs="Tahoma"/>
          <w:sz w:val="22"/>
        </w:rPr>
        <w:t xml:space="preserve"> do Instituto de Previdência Social do Município de Navegantes – NAVEGANTESPREV do ano de 201</w:t>
      </w:r>
      <w:r w:rsidR="00553D0E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>, realizada no dia 0</w:t>
      </w:r>
      <w:r w:rsidR="00C91C4D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 xml:space="preserve"> </w:t>
      </w:r>
      <w:r w:rsidR="00762053">
        <w:rPr>
          <w:rFonts w:ascii="Tahoma" w:hAnsi="Tahoma" w:cs="Tahoma"/>
          <w:sz w:val="22"/>
        </w:rPr>
        <w:t>d</w:t>
      </w:r>
      <w:r>
        <w:rPr>
          <w:rFonts w:ascii="Tahoma" w:hAnsi="Tahoma" w:cs="Tahoma"/>
          <w:sz w:val="22"/>
        </w:rPr>
        <w:t xml:space="preserve">e </w:t>
      </w:r>
      <w:r w:rsidR="00C91C4D">
        <w:rPr>
          <w:rFonts w:ascii="Tahoma" w:hAnsi="Tahoma" w:cs="Tahoma"/>
          <w:sz w:val="22"/>
        </w:rPr>
        <w:t>fevereiro</w:t>
      </w:r>
      <w:r w:rsidR="0076205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201</w:t>
      </w:r>
      <w:r w:rsidR="00553D0E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>.</w:t>
      </w:r>
    </w:p>
    <w:p w:rsidR="00F30C25" w:rsidRDefault="00F30C25" w:rsidP="00F30C25">
      <w:pPr>
        <w:jc w:val="both"/>
        <w:rPr>
          <w:rFonts w:ascii="Tahoma" w:hAnsi="Tahoma" w:cs="Tahoma"/>
          <w:sz w:val="22"/>
        </w:rPr>
      </w:pPr>
    </w:p>
    <w:p w:rsidR="00A00085" w:rsidRDefault="00F30C25" w:rsidP="00F30C2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 dia 0</w:t>
      </w:r>
      <w:r w:rsidR="00C91C4D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 de </w:t>
      </w:r>
      <w:r w:rsidR="00C91C4D">
        <w:rPr>
          <w:rFonts w:ascii="Tahoma" w:hAnsi="Tahoma" w:cs="Tahoma"/>
          <w:sz w:val="22"/>
        </w:rPr>
        <w:t xml:space="preserve">fevereiro </w:t>
      </w:r>
      <w:r>
        <w:rPr>
          <w:rFonts w:ascii="Tahoma" w:hAnsi="Tahoma" w:cs="Tahoma"/>
          <w:sz w:val="22"/>
        </w:rPr>
        <w:t>de 201</w:t>
      </w:r>
      <w:r w:rsidR="00553D0E">
        <w:rPr>
          <w:rFonts w:ascii="Tahoma" w:hAnsi="Tahoma" w:cs="Tahoma"/>
          <w:sz w:val="22"/>
        </w:rPr>
        <w:t>8</w:t>
      </w:r>
      <w:r w:rsidR="00171C77">
        <w:rPr>
          <w:rFonts w:ascii="Tahoma" w:hAnsi="Tahoma" w:cs="Tahoma"/>
          <w:sz w:val="22"/>
        </w:rPr>
        <w:t>, às 19</w:t>
      </w:r>
      <w:r>
        <w:rPr>
          <w:rFonts w:ascii="Tahoma" w:hAnsi="Tahoma" w:cs="Tahoma"/>
          <w:sz w:val="22"/>
        </w:rPr>
        <w:t>h</w:t>
      </w:r>
      <w:r w:rsidR="00171C77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 xml:space="preserve">0min foi realizada na sala de reuniões do Instituto de Previdência Social do Município de Navegantes – NAVEGANTESPREV, localizado na Avenida Conselheiro João </w:t>
      </w:r>
      <w:proofErr w:type="spellStart"/>
      <w:r>
        <w:rPr>
          <w:rFonts w:ascii="Tahoma" w:hAnsi="Tahoma" w:cs="Tahoma"/>
          <w:sz w:val="22"/>
        </w:rPr>
        <w:t>Gaya</w:t>
      </w:r>
      <w:proofErr w:type="spellEnd"/>
      <w:r>
        <w:rPr>
          <w:rFonts w:ascii="Tahoma" w:hAnsi="Tahoma" w:cs="Tahoma"/>
          <w:sz w:val="22"/>
        </w:rPr>
        <w:t xml:space="preserve">, 295, sala 02, a </w:t>
      </w:r>
      <w:r w:rsidR="00C91C4D">
        <w:rPr>
          <w:rFonts w:ascii="Tahoma" w:hAnsi="Tahoma" w:cs="Tahoma"/>
          <w:sz w:val="22"/>
        </w:rPr>
        <w:t>segunda</w:t>
      </w:r>
      <w:r w:rsidR="0076205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reunião do Comitê de Investimento em 201</w:t>
      </w:r>
      <w:r w:rsidR="00553D0E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, que contou com a presença </w:t>
      </w:r>
      <w:r w:rsidR="007B61F8">
        <w:rPr>
          <w:rFonts w:ascii="Tahoma" w:hAnsi="Tahoma" w:cs="Tahoma"/>
          <w:sz w:val="22"/>
        </w:rPr>
        <w:t>da</w:t>
      </w:r>
      <w:r>
        <w:rPr>
          <w:rFonts w:ascii="Tahoma" w:hAnsi="Tahoma" w:cs="Tahoma"/>
          <w:sz w:val="22"/>
        </w:rPr>
        <w:t xml:space="preserve"> senhor</w:t>
      </w:r>
      <w:r w:rsidR="007B61F8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 xml:space="preserve"> </w:t>
      </w:r>
      <w:r w:rsidR="007B61F8">
        <w:rPr>
          <w:rFonts w:ascii="Tahoma" w:hAnsi="Tahoma" w:cs="Tahoma"/>
          <w:sz w:val="22"/>
        </w:rPr>
        <w:t>Gisele de Oliveira Fernandes</w:t>
      </w:r>
      <w:r>
        <w:rPr>
          <w:rFonts w:ascii="Tahoma" w:hAnsi="Tahoma" w:cs="Tahoma"/>
          <w:sz w:val="22"/>
        </w:rPr>
        <w:t xml:space="preserve">, </w:t>
      </w:r>
      <w:r w:rsidR="007B61F8">
        <w:rPr>
          <w:rFonts w:ascii="Tahoma" w:hAnsi="Tahoma" w:cs="Tahoma"/>
          <w:sz w:val="22"/>
        </w:rPr>
        <w:t>técnica administrativa previdenciária da Autarquia e membro do Comitê</w:t>
      </w:r>
      <w:r>
        <w:rPr>
          <w:rFonts w:ascii="Tahoma" w:hAnsi="Tahoma" w:cs="Tahoma"/>
          <w:sz w:val="22"/>
        </w:rPr>
        <w:t xml:space="preserve">, do Senhor Leonardo Silva Vianna, </w:t>
      </w:r>
      <w:r w:rsidR="00762053">
        <w:rPr>
          <w:rFonts w:ascii="Tahoma" w:hAnsi="Tahoma" w:cs="Tahoma"/>
          <w:sz w:val="22"/>
        </w:rPr>
        <w:t>membro</w:t>
      </w:r>
      <w:r>
        <w:rPr>
          <w:rFonts w:ascii="Tahoma" w:hAnsi="Tahoma" w:cs="Tahoma"/>
          <w:sz w:val="22"/>
        </w:rPr>
        <w:t xml:space="preserve"> do Co</w:t>
      </w:r>
      <w:r w:rsidR="00D457F4">
        <w:rPr>
          <w:rFonts w:ascii="Tahoma" w:hAnsi="Tahoma" w:cs="Tahoma"/>
          <w:sz w:val="22"/>
        </w:rPr>
        <w:t>mitê</w:t>
      </w:r>
      <w:r>
        <w:rPr>
          <w:rFonts w:ascii="Tahoma" w:hAnsi="Tahoma" w:cs="Tahoma"/>
          <w:sz w:val="22"/>
        </w:rPr>
        <w:t>, da Senhora Alessandra Cristina Hoehn, assessora financeira e presidente d</w:t>
      </w:r>
      <w:r w:rsidR="007B61F8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Comitê de Investimentos, </w:t>
      </w:r>
      <w:r w:rsidR="007B61F8">
        <w:rPr>
          <w:rFonts w:ascii="Tahoma" w:hAnsi="Tahoma" w:cs="Tahoma"/>
          <w:sz w:val="22"/>
        </w:rPr>
        <w:t xml:space="preserve">e </w:t>
      </w:r>
      <w:r>
        <w:rPr>
          <w:rFonts w:ascii="Tahoma" w:hAnsi="Tahoma" w:cs="Tahoma"/>
          <w:sz w:val="22"/>
        </w:rPr>
        <w:t>do Senhor Rafael Castro, técnico administrativo financeiro da Autarquia</w:t>
      </w:r>
      <w:r w:rsidR="007B61F8">
        <w:rPr>
          <w:rFonts w:ascii="Tahoma" w:hAnsi="Tahoma" w:cs="Tahoma"/>
          <w:sz w:val="22"/>
        </w:rPr>
        <w:t xml:space="preserve"> e secretário do Comitê</w:t>
      </w:r>
      <w:r>
        <w:rPr>
          <w:rFonts w:ascii="Tahoma" w:hAnsi="Tahoma" w:cs="Tahoma"/>
          <w:sz w:val="22"/>
        </w:rPr>
        <w:t xml:space="preserve">. </w:t>
      </w:r>
      <w:r w:rsidR="00442E00">
        <w:rPr>
          <w:rFonts w:ascii="Tahoma" w:hAnsi="Tahoma" w:cs="Tahoma"/>
          <w:sz w:val="22"/>
        </w:rPr>
        <w:t xml:space="preserve">Foram apresentados os relatórios financeiros de </w:t>
      </w:r>
      <w:r w:rsidR="00553D0E">
        <w:rPr>
          <w:rFonts w:ascii="Tahoma" w:hAnsi="Tahoma" w:cs="Tahoma"/>
          <w:sz w:val="22"/>
        </w:rPr>
        <w:t>0</w:t>
      </w:r>
      <w:r w:rsidR="00C91C4D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/</w:t>
      </w:r>
      <w:r w:rsidR="00C91C4D">
        <w:rPr>
          <w:rFonts w:ascii="Tahoma" w:hAnsi="Tahoma" w:cs="Tahoma"/>
          <w:sz w:val="22"/>
        </w:rPr>
        <w:t>01</w:t>
      </w:r>
      <w:r>
        <w:rPr>
          <w:rFonts w:ascii="Tahoma" w:hAnsi="Tahoma" w:cs="Tahoma"/>
          <w:sz w:val="22"/>
        </w:rPr>
        <w:t>/1</w:t>
      </w:r>
      <w:r w:rsidR="00C91C4D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 encaminhada através de e-mail, já aprovada par</w:t>
      </w:r>
      <w:r w:rsidR="00553D0E">
        <w:rPr>
          <w:rFonts w:ascii="Tahoma" w:hAnsi="Tahoma" w:cs="Tahoma"/>
          <w:sz w:val="22"/>
        </w:rPr>
        <w:t xml:space="preserve">a assinatura. </w:t>
      </w:r>
      <w:r w:rsidR="00C91C4D">
        <w:rPr>
          <w:rFonts w:ascii="Tahoma" w:hAnsi="Tahoma" w:cs="Tahoma"/>
          <w:sz w:val="22"/>
        </w:rPr>
        <w:t xml:space="preserve">Foram apresentados os relatórios financeiros de </w:t>
      </w:r>
      <w:r w:rsidR="00C91C4D">
        <w:rPr>
          <w:rFonts w:ascii="Tahoma" w:hAnsi="Tahoma" w:cs="Tahoma"/>
          <w:sz w:val="22"/>
        </w:rPr>
        <w:t>janeiro</w:t>
      </w:r>
      <w:r w:rsidR="00C91C4D">
        <w:rPr>
          <w:rFonts w:ascii="Tahoma" w:hAnsi="Tahoma" w:cs="Tahoma"/>
          <w:sz w:val="22"/>
        </w:rPr>
        <w:t>/1</w:t>
      </w:r>
      <w:r w:rsidR="00C91C4D">
        <w:rPr>
          <w:rFonts w:ascii="Tahoma" w:hAnsi="Tahoma" w:cs="Tahoma"/>
          <w:sz w:val="22"/>
        </w:rPr>
        <w:t>8</w:t>
      </w:r>
      <w:r w:rsidR="00C91C4D">
        <w:rPr>
          <w:rFonts w:ascii="Tahoma" w:hAnsi="Tahoma" w:cs="Tahoma"/>
          <w:sz w:val="22"/>
        </w:rPr>
        <w:t xml:space="preserve">, o relatório da carteira de investimentos de </w:t>
      </w:r>
      <w:r w:rsidR="00C91C4D">
        <w:rPr>
          <w:rFonts w:ascii="Tahoma" w:hAnsi="Tahoma" w:cs="Tahoma"/>
          <w:sz w:val="22"/>
        </w:rPr>
        <w:t>janeiro</w:t>
      </w:r>
      <w:r w:rsidR="00C91C4D">
        <w:rPr>
          <w:rFonts w:ascii="Tahoma" w:hAnsi="Tahoma" w:cs="Tahoma"/>
          <w:sz w:val="22"/>
        </w:rPr>
        <w:t>/1</w:t>
      </w:r>
      <w:r w:rsidR="00C91C4D">
        <w:rPr>
          <w:rFonts w:ascii="Tahoma" w:hAnsi="Tahoma" w:cs="Tahoma"/>
          <w:sz w:val="22"/>
        </w:rPr>
        <w:t>8</w:t>
      </w:r>
      <w:r w:rsidR="00C91C4D">
        <w:rPr>
          <w:rFonts w:ascii="Tahoma" w:hAnsi="Tahoma" w:cs="Tahoma"/>
          <w:sz w:val="22"/>
        </w:rPr>
        <w:t>, a arrecadação e benefícios pagos desde o início do Instituto da carteira de investimentos do NAVEGANTESPREV para análise e atualização quanto às aplicações dos recursos previdenciários</w:t>
      </w:r>
      <w:r w:rsidR="00F83869" w:rsidRPr="005F756C">
        <w:rPr>
          <w:rFonts w:ascii="Tahoma" w:hAnsi="Tahoma" w:cs="Tahoma"/>
          <w:sz w:val="22"/>
        </w:rPr>
        <w:t xml:space="preserve">. </w:t>
      </w:r>
      <w:r w:rsidR="00553D0E" w:rsidRPr="001452E3">
        <w:rPr>
          <w:rFonts w:ascii="Tahoma" w:hAnsi="Tahoma" w:cs="Tahoma"/>
          <w:sz w:val="22"/>
        </w:rPr>
        <w:t xml:space="preserve">O mês de </w:t>
      </w:r>
      <w:r w:rsidR="00C91C4D" w:rsidRPr="001452E3">
        <w:rPr>
          <w:rFonts w:ascii="Tahoma" w:hAnsi="Tahoma" w:cs="Tahoma"/>
          <w:sz w:val="22"/>
        </w:rPr>
        <w:t>janeiro</w:t>
      </w:r>
      <w:r w:rsidR="00573424" w:rsidRPr="001452E3">
        <w:rPr>
          <w:rFonts w:ascii="Tahoma" w:hAnsi="Tahoma" w:cs="Tahoma"/>
          <w:sz w:val="22"/>
        </w:rPr>
        <w:t>/1</w:t>
      </w:r>
      <w:r w:rsidR="00C91C4D" w:rsidRPr="001452E3">
        <w:rPr>
          <w:rFonts w:ascii="Tahoma" w:hAnsi="Tahoma" w:cs="Tahoma"/>
          <w:sz w:val="22"/>
        </w:rPr>
        <w:t>8</w:t>
      </w:r>
      <w:r w:rsidR="00573424" w:rsidRPr="001452E3">
        <w:rPr>
          <w:rFonts w:ascii="Tahoma" w:hAnsi="Tahoma" w:cs="Tahoma"/>
          <w:sz w:val="22"/>
        </w:rPr>
        <w:t xml:space="preserve"> </w:t>
      </w:r>
      <w:r w:rsidR="00553D0E" w:rsidRPr="001452E3">
        <w:rPr>
          <w:rFonts w:ascii="Tahoma" w:hAnsi="Tahoma" w:cs="Tahoma"/>
          <w:sz w:val="22"/>
        </w:rPr>
        <w:t>foi</w:t>
      </w:r>
      <w:r w:rsidR="001452E3" w:rsidRPr="001452E3">
        <w:rPr>
          <w:rFonts w:ascii="Tahoma" w:hAnsi="Tahoma" w:cs="Tahoma"/>
          <w:sz w:val="22"/>
        </w:rPr>
        <w:t xml:space="preserve"> um mês sem muita movimentação política, sendo que os principais pontos de destaque foram: o julgamento e condenação do ex-presidente Lula no dia 24, fato que deu maior oscilação no mercado financeiro; a expectativa da reforma previdenciária, que o mercado já precificou suas posições sem o andamento de tal reforma; a expectativa de uma variação da taxa Selic, que se confirmou no dia 06/02 para 6,75%</w:t>
      </w:r>
      <w:r w:rsidR="00E0600A">
        <w:rPr>
          <w:rFonts w:ascii="Tahoma" w:hAnsi="Tahoma" w:cs="Tahoma"/>
          <w:sz w:val="22"/>
        </w:rPr>
        <w:t>. Sobre a expectativa da corrida presidencial, estudiosos do setor e o próprio mercado tem acenado para que a corrida não se dê nos extremos Lula-Bolsonaro</w:t>
      </w:r>
      <w:r w:rsidR="00935B9F" w:rsidRPr="00553D0E">
        <w:rPr>
          <w:rFonts w:ascii="Tahoma" w:hAnsi="Tahoma" w:cs="Tahoma"/>
          <w:sz w:val="22"/>
        </w:rPr>
        <w:t xml:space="preserve">. </w:t>
      </w:r>
      <w:r w:rsidR="00523C23" w:rsidRPr="00EE00AE">
        <w:rPr>
          <w:rFonts w:ascii="Tahoma" w:hAnsi="Tahoma" w:cs="Tahoma"/>
          <w:sz w:val="22"/>
        </w:rPr>
        <w:t>A</w:t>
      </w:r>
      <w:r w:rsidR="00573424" w:rsidRPr="00EE00AE">
        <w:rPr>
          <w:rFonts w:ascii="Tahoma" w:hAnsi="Tahoma" w:cs="Tahoma"/>
          <w:sz w:val="22"/>
        </w:rPr>
        <w:t xml:space="preserve"> carteira rentabilizou </w:t>
      </w:r>
      <w:r w:rsidR="00ED24A0" w:rsidRPr="00EE00AE">
        <w:rPr>
          <w:rFonts w:ascii="Tahoma" w:hAnsi="Tahoma" w:cs="Tahoma"/>
          <w:sz w:val="22"/>
        </w:rPr>
        <w:t>1</w:t>
      </w:r>
      <w:r w:rsidR="00A82AC5" w:rsidRPr="00EE00AE">
        <w:rPr>
          <w:rFonts w:ascii="Tahoma" w:hAnsi="Tahoma" w:cs="Tahoma"/>
          <w:sz w:val="22"/>
        </w:rPr>
        <w:t>,63</w:t>
      </w:r>
      <w:r w:rsidR="00573424" w:rsidRPr="00EE00AE">
        <w:rPr>
          <w:rFonts w:ascii="Tahoma" w:hAnsi="Tahoma" w:cs="Tahoma"/>
          <w:sz w:val="22"/>
        </w:rPr>
        <w:t>% no mês</w:t>
      </w:r>
      <w:r w:rsidR="00E23AA1" w:rsidRPr="00EE00AE">
        <w:rPr>
          <w:rFonts w:ascii="Tahoma" w:hAnsi="Tahoma" w:cs="Tahoma"/>
          <w:sz w:val="22"/>
        </w:rPr>
        <w:t xml:space="preserve"> ante a meta atuarial com </w:t>
      </w:r>
      <w:r w:rsidR="00460B22" w:rsidRPr="00EE00AE">
        <w:rPr>
          <w:rFonts w:ascii="Tahoma" w:hAnsi="Tahoma" w:cs="Tahoma"/>
          <w:sz w:val="22"/>
        </w:rPr>
        <w:t>0,</w:t>
      </w:r>
      <w:r w:rsidR="00EE00AE" w:rsidRPr="00EE00AE">
        <w:rPr>
          <w:rFonts w:ascii="Tahoma" w:hAnsi="Tahoma" w:cs="Tahoma"/>
          <w:sz w:val="22"/>
        </w:rPr>
        <w:t>79</w:t>
      </w:r>
      <w:r w:rsidR="00A82AC5" w:rsidRPr="00EE00AE">
        <w:rPr>
          <w:rFonts w:ascii="Tahoma" w:hAnsi="Tahoma" w:cs="Tahoma"/>
          <w:sz w:val="22"/>
        </w:rPr>
        <w:t xml:space="preserve">, </w:t>
      </w:r>
      <w:proofErr w:type="spellStart"/>
      <w:r w:rsidR="00E83B6D" w:rsidRPr="00EE00AE">
        <w:rPr>
          <w:rFonts w:ascii="Tahoma" w:hAnsi="Tahoma" w:cs="Tahoma"/>
          <w:sz w:val="22"/>
        </w:rPr>
        <w:t>perf</w:t>
      </w:r>
      <w:r w:rsidR="001C50C0" w:rsidRPr="00EE00AE">
        <w:rPr>
          <w:rFonts w:ascii="Tahoma" w:hAnsi="Tahoma" w:cs="Tahoma"/>
          <w:sz w:val="22"/>
        </w:rPr>
        <w:t>ormando</w:t>
      </w:r>
      <w:proofErr w:type="spellEnd"/>
      <w:r w:rsidR="001C50C0" w:rsidRPr="00EE00AE">
        <w:rPr>
          <w:rFonts w:ascii="Tahoma" w:hAnsi="Tahoma" w:cs="Tahoma"/>
          <w:sz w:val="22"/>
        </w:rPr>
        <w:t xml:space="preserve"> </w:t>
      </w:r>
      <w:r w:rsidR="00A82AC5" w:rsidRPr="00EE00AE">
        <w:rPr>
          <w:rFonts w:ascii="Tahoma" w:hAnsi="Tahoma" w:cs="Tahoma"/>
          <w:sz w:val="22"/>
        </w:rPr>
        <w:t>0</w:t>
      </w:r>
      <w:r w:rsidR="00ED24A0" w:rsidRPr="00EE00AE">
        <w:rPr>
          <w:rFonts w:ascii="Tahoma" w:hAnsi="Tahoma" w:cs="Tahoma"/>
          <w:sz w:val="22"/>
        </w:rPr>
        <w:t>,</w:t>
      </w:r>
      <w:r w:rsidR="00EE00AE" w:rsidRPr="00EE00AE">
        <w:rPr>
          <w:rFonts w:ascii="Tahoma" w:hAnsi="Tahoma" w:cs="Tahoma"/>
          <w:sz w:val="22"/>
        </w:rPr>
        <w:t>84</w:t>
      </w:r>
      <w:r w:rsidR="001C50C0" w:rsidRPr="00EE00AE">
        <w:rPr>
          <w:rFonts w:ascii="Tahoma" w:hAnsi="Tahoma" w:cs="Tahoma"/>
          <w:sz w:val="22"/>
        </w:rPr>
        <w:t>% acima da meta</w:t>
      </w:r>
      <w:r w:rsidR="00E23AA1" w:rsidRPr="00EE00AE">
        <w:rPr>
          <w:rFonts w:ascii="Tahoma" w:hAnsi="Tahoma" w:cs="Tahoma"/>
          <w:sz w:val="22"/>
        </w:rPr>
        <w:t>.</w:t>
      </w:r>
      <w:r w:rsidR="00573424" w:rsidRPr="00EE00AE">
        <w:rPr>
          <w:rFonts w:ascii="Tahoma" w:hAnsi="Tahoma" w:cs="Tahoma"/>
          <w:sz w:val="22"/>
        </w:rPr>
        <w:t xml:space="preserve"> </w:t>
      </w:r>
      <w:r w:rsidR="004210AA" w:rsidRPr="00EE00AE">
        <w:rPr>
          <w:rFonts w:ascii="Tahoma" w:hAnsi="Tahoma" w:cs="Tahoma"/>
          <w:sz w:val="22"/>
        </w:rPr>
        <w:t xml:space="preserve">Os melhores índices de renda fixa neste mês </w:t>
      </w:r>
      <w:r w:rsidR="00E23AA1" w:rsidRPr="00EE00AE">
        <w:rPr>
          <w:rFonts w:ascii="Tahoma" w:hAnsi="Tahoma" w:cs="Tahoma"/>
          <w:sz w:val="22"/>
        </w:rPr>
        <w:t xml:space="preserve">foram </w:t>
      </w:r>
      <w:r w:rsidR="004210AA" w:rsidRPr="00EE00AE">
        <w:rPr>
          <w:rFonts w:ascii="Tahoma" w:hAnsi="Tahoma" w:cs="Tahoma"/>
          <w:sz w:val="22"/>
        </w:rPr>
        <w:t xml:space="preserve">o </w:t>
      </w:r>
      <w:r w:rsidR="00ED24A0" w:rsidRPr="00EE00AE">
        <w:rPr>
          <w:rFonts w:ascii="Tahoma" w:hAnsi="Tahoma" w:cs="Tahoma"/>
          <w:sz w:val="22"/>
        </w:rPr>
        <w:t>IMA-B5</w:t>
      </w:r>
      <w:r w:rsidR="00EE00AE" w:rsidRPr="00EE00AE">
        <w:rPr>
          <w:rFonts w:ascii="Tahoma" w:hAnsi="Tahoma" w:cs="Tahoma"/>
          <w:sz w:val="22"/>
        </w:rPr>
        <w:t>+</w:t>
      </w:r>
      <w:r w:rsidR="00ED24A0" w:rsidRPr="00EE00AE">
        <w:rPr>
          <w:rFonts w:ascii="Tahoma" w:hAnsi="Tahoma" w:cs="Tahoma"/>
          <w:sz w:val="22"/>
        </w:rPr>
        <w:t xml:space="preserve"> </w:t>
      </w:r>
      <w:r w:rsidR="006A5D73" w:rsidRPr="00EE00AE">
        <w:rPr>
          <w:rFonts w:ascii="Tahoma" w:hAnsi="Tahoma" w:cs="Tahoma"/>
          <w:sz w:val="22"/>
        </w:rPr>
        <w:t xml:space="preserve">com </w:t>
      </w:r>
      <w:r w:rsidR="00EE00AE" w:rsidRPr="00EE00AE">
        <w:rPr>
          <w:rFonts w:ascii="Tahoma" w:hAnsi="Tahoma" w:cs="Tahoma"/>
          <w:sz w:val="22"/>
        </w:rPr>
        <w:t>4,95</w:t>
      </w:r>
      <w:r w:rsidR="006A5D73" w:rsidRPr="00EE00AE">
        <w:rPr>
          <w:rFonts w:ascii="Tahoma" w:hAnsi="Tahoma" w:cs="Tahoma"/>
          <w:sz w:val="22"/>
        </w:rPr>
        <w:t>%</w:t>
      </w:r>
      <w:r w:rsidR="004210AA" w:rsidRPr="00EE00AE">
        <w:rPr>
          <w:rFonts w:ascii="Tahoma" w:hAnsi="Tahoma" w:cs="Tahoma"/>
          <w:sz w:val="22"/>
        </w:rPr>
        <w:t xml:space="preserve">, </w:t>
      </w:r>
      <w:r w:rsidR="00EE00AE" w:rsidRPr="00EE00AE">
        <w:rPr>
          <w:rFonts w:ascii="Tahoma" w:hAnsi="Tahoma" w:cs="Tahoma"/>
          <w:sz w:val="22"/>
        </w:rPr>
        <w:t xml:space="preserve">IMA-B com 3,40% e IRF-M1+ com 1,55%, </w:t>
      </w:r>
      <w:r w:rsidR="004210AA" w:rsidRPr="00EE00AE">
        <w:rPr>
          <w:rFonts w:ascii="Tahoma" w:hAnsi="Tahoma" w:cs="Tahoma"/>
          <w:sz w:val="22"/>
        </w:rPr>
        <w:t xml:space="preserve">enquanto </w:t>
      </w:r>
      <w:r w:rsidR="00D361E3" w:rsidRPr="00EE00AE">
        <w:rPr>
          <w:rFonts w:ascii="Tahoma" w:hAnsi="Tahoma" w:cs="Tahoma"/>
          <w:sz w:val="22"/>
        </w:rPr>
        <w:t xml:space="preserve">na Renda Variável foram o </w:t>
      </w:r>
      <w:r w:rsidR="00EE00AE" w:rsidRPr="00EE00AE">
        <w:rPr>
          <w:rFonts w:ascii="Tahoma" w:hAnsi="Tahoma" w:cs="Tahoma"/>
          <w:sz w:val="22"/>
        </w:rPr>
        <w:t>IBOV</w:t>
      </w:r>
      <w:r w:rsidR="004D4D8E" w:rsidRPr="00EE00AE">
        <w:rPr>
          <w:rFonts w:ascii="Tahoma" w:hAnsi="Tahoma" w:cs="Tahoma"/>
          <w:sz w:val="22"/>
        </w:rPr>
        <w:t xml:space="preserve"> com</w:t>
      </w:r>
      <w:r w:rsidR="004210AA" w:rsidRPr="00EE00AE">
        <w:rPr>
          <w:rFonts w:ascii="Tahoma" w:hAnsi="Tahoma" w:cs="Tahoma"/>
          <w:sz w:val="22"/>
        </w:rPr>
        <w:t xml:space="preserve"> </w:t>
      </w:r>
      <w:r w:rsidR="00EE00AE" w:rsidRPr="00EE00AE">
        <w:rPr>
          <w:rFonts w:ascii="Tahoma" w:hAnsi="Tahoma" w:cs="Tahoma"/>
          <w:sz w:val="22"/>
        </w:rPr>
        <w:t>11,14</w:t>
      </w:r>
      <w:r w:rsidR="004210AA" w:rsidRPr="00EE00AE">
        <w:rPr>
          <w:rFonts w:ascii="Tahoma" w:hAnsi="Tahoma" w:cs="Tahoma"/>
          <w:sz w:val="22"/>
        </w:rPr>
        <w:t>%</w:t>
      </w:r>
      <w:r w:rsidR="00D361E3" w:rsidRPr="00EE00AE">
        <w:rPr>
          <w:rFonts w:ascii="Tahoma" w:hAnsi="Tahoma" w:cs="Tahoma"/>
          <w:sz w:val="22"/>
        </w:rPr>
        <w:t xml:space="preserve"> e </w:t>
      </w:r>
      <w:r w:rsidR="00717780" w:rsidRPr="00EE00AE">
        <w:rPr>
          <w:rFonts w:ascii="Tahoma" w:hAnsi="Tahoma" w:cs="Tahoma"/>
          <w:sz w:val="22"/>
        </w:rPr>
        <w:t xml:space="preserve">IDIV </w:t>
      </w:r>
      <w:r w:rsidR="00D361E3" w:rsidRPr="00EE00AE">
        <w:rPr>
          <w:rFonts w:ascii="Tahoma" w:hAnsi="Tahoma" w:cs="Tahoma"/>
          <w:sz w:val="22"/>
        </w:rPr>
        <w:t xml:space="preserve">com </w:t>
      </w:r>
      <w:r w:rsidR="00EE00AE" w:rsidRPr="00EE00AE">
        <w:rPr>
          <w:rFonts w:ascii="Tahoma" w:hAnsi="Tahoma" w:cs="Tahoma"/>
          <w:sz w:val="22"/>
        </w:rPr>
        <w:t>9,88</w:t>
      </w:r>
      <w:r w:rsidR="00D361E3" w:rsidRPr="00EE00AE">
        <w:rPr>
          <w:rFonts w:ascii="Tahoma" w:hAnsi="Tahoma" w:cs="Tahoma"/>
          <w:sz w:val="22"/>
        </w:rPr>
        <w:t>%</w:t>
      </w:r>
      <w:r w:rsidR="004210AA" w:rsidRPr="00EE00AE">
        <w:rPr>
          <w:rFonts w:ascii="Tahoma" w:hAnsi="Tahoma" w:cs="Tahoma"/>
          <w:sz w:val="22"/>
        </w:rPr>
        <w:t xml:space="preserve">. </w:t>
      </w:r>
      <w:r w:rsidR="004210AA" w:rsidRPr="00667ADA">
        <w:rPr>
          <w:rFonts w:ascii="Tahoma" w:hAnsi="Tahoma" w:cs="Tahoma"/>
          <w:sz w:val="22"/>
        </w:rPr>
        <w:t xml:space="preserve">Para </w:t>
      </w:r>
      <w:r w:rsidR="001452E3" w:rsidRPr="00667ADA">
        <w:rPr>
          <w:rFonts w:ascii="Tahoma" w:hAnsi="Tahoma" w:cs="Tahoma"/>
          <w:sz w:val="22"/>
        </w:rPr>
        <w:t>fevereiro</w:t>
      </w:r>
      <w:r w:rsidR="004210AA" w:rsidRPr="00667ADA">
        <w:rPr>
          <w:rFonts w:ascii="Tahoma" w:hAnsi="Tahoma" w:cs="Tahoma"/>
          <w:sz w:val="22"/>
        </w:rPr>
        <w:t xml:space="preserve">, a estratégia adotada pelo Comitê é </w:t>
      </w:r>
      <w:r w:rsidR="004B087A" w:rsidRPr="00667ADA">
        <w:rPr>
          <w:rFonts w:ascii="Tahoma" w:hAnsi="Tahoma" w:cs="Tahoma"/>
          <w:sz w:val="22"/>
        </w:rPr>
        <w:t xml:space="preserve">de </w:t>
      </w:r>
      <w:r w:rsidR="00553D0E" w:rsidRPr="00667ADA">
        <w:rPr>
          <w:rFonts w:ascii="Tahoma" w:hAnsi="Tahoma" w:cs="Tahoma"/>
          <w:sz w:val="22"/>
        </w:rPr>
        <w:t xml:space="preserve">manter o </w:t>
      </w:r>
      <w:r w:rsidR="001452E3" w:rsidRPr="00667ADA">
        <w:rPr>
          <w:rFonts w:ascii="Tahoma" w:hAnsi="Tahoma" w:cs="Tahoma"/>
          <w:sz w:val="22"/>
        </w:rPr>
        <w:t>montante de fundos em Renda Variável em torno dos</w:t>
      </w:r>
      <w:r w:rsidR="00553D0E" w:rsidRPr="00667ADA">
        <w:rPr>
          <w:rFonts w:ascii="Tahoma" w:hAnsi="Tahoma" w:cs="Tahoma"/>
          <w:sz w:val="22"/>
        </w:rPr>
        <w:t xml:space="preserve"> 20%, </w:t>
      </w:r>
      <w:r w:rsidR="00E0600A" w:rsidRPr="00667ADA">
        <w:rPr>
          <w:rFonts w:ascii="Tahoma" w:hAnsi="Tahoma" w:cs="Tahoma"/>
          <w:sz w:val="22"/>
        </w:rPr>
        <w:t xml:space="preserve">aproveitando alguns dos fundos que estão com boa performance, como o Safra S&amp;P, BTG Absoluto e </w:t>
      </w:r>
      <w:proofErr w:type="spellStart"/>
      <w:r w:rsidR="00E0600A" w:rsidRPr="00667ADA">
        <w:rPr>
          <w:rFonts w:ascii="Tahoma" w:hAnsi="Tahoma" w:cs="Tahoma"/>
          <w:sz w:val="22"/>
        </w:rPr>
        <w:t>Kondor</w:t>
      </w:r>
      <w:proofErr w:type="spellEnd"/>
      <w:r w:rsidR="00E0600A" w:rsidRPr="00667ADA">
        <w:rPr>
          <w:rFonts w:ascii="Tahoma" w:hAnsi="Tahoma" w:cs="Tahoma"/>
          <w:sz w:val="22"/>
        </w:rPr>
        <w:t xml:space="preserve"> </w:t>
      </w:r>
      <w:proofErr w:type="spellStart"/>
      <w:r w:rsidR="00E0600A" w:rsidRPr="00667ADA">
        <w:rPr>
          <w:rFonts w:ascii="Tahoma" w:hAnsi="Tahoma" w:cs="Tahoma"/>
          <w:sz w:val="22"/>
        </w:rPr>
        <w:t>Equites</w:t>
      </w:r>
      <w:proofErr w:type="spellEnd"/>
      <w:r w:rsidR="00553D0E" w:rsidRPr="00667ADA">
        <w:rPr>
          <w:rFonts w:ascii="Tahoma" w:hAnsi="Tahoma" w:cs="Tahoma"/>
          <w:sz w:val="22"/>
        </w:rPr>
        <w:t xml:space="preserve">. Com a Renda Fixa, </w:t>
      </w:r>
      <w:r w:rsidR="00667ADA" w:rsidRPr="00667ADA">
        <w:rPr>
          <w:rFonts w:ascii="Tahoma" w:hAnsi="Tahoma" w:cs="Tahoma"/>
          <w:sz w:val="22"/>
        </w:rPr>
        <w:t xml:space="preserve">a estratégia é de </w:t>
      </w:r>
      <w:r w:rsidR="00EE00AE">
        <w:rPr>
          <w:rFonts w:ascii="Tahoma" w:hAnsi="Tahoma" w:cs="Tahoma"/>
          <w:sz w:val="22"/>
        </w:rPr>
        <w:t xml:space="preserve">manter o seguido em janeiro, de </w:t>
      </w:r>
      <w:r w:rsidR="00E0600A" w:rsidRPr="00667ADA">
        <w:rPr>
          <w:rFonts w:ascii="Tahoma" w:hAnsi="Tahoma" w:cs="Tahoma"/>
          <w:sz w:val="22"/>
        </w:rPr>
        <w:t xml:space="preserve">os aportes se </w:t>
      </w:r>
      <w:r w:rsidR="00EE00AE">
        <w:rPr>
          <w:rFonts w:ascii="Tahoma" w:hAnsi="Tahoma" w:cs="Tahoma"/>
          <w:sz w:val="22"/>
        </w:rPr>
        <w:t>darem</w:t>
      </w:r>
      <w:r w:rsidR="00E0600A" w:rsidRPr="00667ADA">
        <w:rPr>
          <w:rFonts w:ascii="Tahoma" w:hAnsi="Tahoma" w:cs="Tahoma"/>
          <w:sz w:val="22"/>
        </w:rPr>
        <w:t xml:space="preserve"> em</w:t>
      </w:r>
      <w:r w:rsidR="00553D0E" w:rsidRPr="00667ADA">
        <w:rPr>
          <w:rFonts w:ascii="Tahoma" w:hAnsi="Tahoma" w:cs="Tahoma"/>
          <w:sz w:val="22"/>
        </w:rPr>
        <w:t xml:space="preserve"> fundos mais protegidos</w:t>
      </w:r>
      <w:r w:rsidR="00EE00AE">
        <w:rPr>
          <w:rFonts w:ascii="Tahoma" w:hAnsi="Tahoma" w:cs="Tahoma"/>
          <w:sz w:val="22"/>
        </w:rPr>
        <w:t xml:space="preserve"> e </w:t>
      </w:r>
      <w:r w:rsidR="008F7E6A">
        <w:rPr>
          <w:rFonts w:ascii="Tahoma" w:hAnsi="Tahoma" w:cs="Tahoma"/>
          <w:sz w:val="22"/>
        </w:rPr>
        <w:t>ativos</w:t>
      </w:r>
      <w:r w:rsidR="00EE00AE">
        <w:rPr>
          <w:rFonts w:ascii="Tahoma" w:hAnsi="Tahoma" w:cs="Tahoma"/>
          <w:sz w:val="22"/>
        </w:rPr>
        <w:t xml:space="preserve">, </w:t>
      </w:r>
      <w:r w:rsidR="008F7E6A">
        <w:rPr>
          <w:rFonts w:ascii="Tahoma" w:hAnsi="Tahoma" w:cs="Tahoma"/>
          <w:sz w:val="22"/>
        </w:rPr>
        <w:t>aproveitando o movimento que o mercado já sinaliza e evitando prejuízos em períodos mais voláteis</w:t>
      </w:r>
      <w:r w:rsidR="00B87EC6" w:rsidRPr="00667ADA">
        <w:rPr>
          <w:rFonts w:ascii="Tahoma" w:hAnsi="Tahoma" w:cs="Tahoma"/>
          <w:sz w:val="22"/>
        </w:rPr>
        <w:t>.</w:t>
      </w:r>
      <w:r w:rsidR="00A00085" w:rsidRPr="00667ADA">
        <w:rPr>
          <w:rFonts w:ascii="Tahoma" w:hAnsi="Tahoma" w:cs="Tahoma"/>
          <w:sz w:val="22"/>
        </w:rPr>
        <w:t xml:space="preserve"> </w:t>
      </w:r>
      <w:r w:rsidR="00A00085">
        <w:rPr>
          <w:rFonts w:ascii="Tahoma" w:hAnsi="Tahoma" w:cs="Tahoma"/>
          <w:sz w:val="22"/>
        </w:rPr>
        <w:t xml:space="preserve">Em seguida, foram tratados assuntos gerais e logo foi encerrada a </w:t>
      </w:r>
      <w:r w:rsidR="00667ADA">
        <w:rPr>
          <w:rFonts w:ascii="Tahoma" w:hAnsi="Tahoma" w:cs="Tahoma"/>
          <w:sz w:val="22"/>
        </w:rPr>
        <w:t>segunda</w:t>
      </w:r>
      <w:r w:rsidR="00300039">
        <w:rPr>
          <w:rFonts w:ascii="Tahoma" w:hAnsi="Tahoma" w:cs="Tahoma"/>
          <w:sz w:val="22"/>
        </w:rPr>
        <w:t xml:space="preserve"> </w:t>
      </w:r>
      <w:r w:rsidR="00A00085">
        <w:rPr>
          <w:rFonts w:ascii="Tahoma" w:hAnsi="Tahoma" w:cs="Tahoma"/>
          <w:sz w:val="22"/>
        </w:rPr>
        <w:t>reunião de 201</w:t>
      </w:r>
      <w:r w:rsidR="00553D0E">
        <w:rPr>
          <w:rFonts w:ascii="Tahoma" w:hAnsi="Tahoma" w:cs="Tahoma"/>
          <w:sz w:val="22"/>
        </w:rPr>
        <w:t>8</w:t>
      </w:r>
      <w:r w:rsidR="00A00085">
        <w:rPr>
          <w:rFonts w:ascii="Tahoma" w:hAnsi="Tahoma" w:cs="Tahoma"/>
          <w:sz w:val="22"/>
        </w:rPr>
        <w:t xml:space="preserve">. A próxima reunião do Comitê de Investimento será no dia </w:t>
      </w:r>
      <w:r w:rsidR="00B30714">
        <w:rPr>
          <w:rFonts w:ascii="Tahoma" w:hAnsi="Tahoma" w:cs="Tahoma"/>
          <w:sz w:val="22"/>
        </w:rPr>
        <w:t>0</w:t>
      </w:r>
      <w:r w:rsidR="00300039">
        <w:rPr>
          <w:rFonts w:ascii="Tahoma" w:hAnsi="Tahoma" w:cs="Tahoma"/>
          <w:sz w:val="22"/>
        </w:rPr>
        <w:t>8</w:t>
      </w:r>
      <w:r w:rsidR="00A00085">
        <w:rPr>
          <w:rFonts w:ascii="Tahoma" w:hAnsi="Tahoma" w:cs="Tahoma"/>
          <w:sz w:val="22"/>
        </w:rPr>
        <w:t>/</w:t>
      </w:r>
      <w:r w:rsidR="00300039">
        <w:rPr>
          <w:rFonts w:ascii="Tahoma" w:hAnsi="Tahoma" w:cs="Tahoma"/>
          <w:sz w:val="22"/>
        </w:rPr>
        <w:t>0</w:t>
      </w:r>
      <w:r w:rsidR="00667ADA">
        <w:rPr>
          <w:rFonts w:ascii="Tahoma" w:hAnsi="Tahoma" w:cs="Tahoma"/>
          <w:sz w:val="22"/>
        </w:rPr>
        <w:t>3</w:t>
      </w:r>
      <w:r w:rsidR="00A00085">
        <w:rPr>
          <w:rFonts w:ascii="Tahoma" w:hAnsi="Tahoma" w:cs="Tahoma"/>
          <w:sz w:val="22"/>
        </w:rPr>
        <w:t>/201</w:t>
      </w:r>
      <w:r w:rsidR="00300039">
        <w:rPr>
          <w:rFonts w:ascii="Tahoma" w:hAnsi="Tahoma" w:cs="Tahoma"/>
          <w:sz w:val="22"/>
        </w:rPr>
        <w:t>8</w:t>
      </w:r>
      <w:r w:rsidR="00A00085">
        <w:rPr>
          <w:rFonts w:ascii="Tahoma" w:hAnsi="Tahoma" w:cs="Tahoma"/>
          <w:sz w:val="22"/>
        </w:rPr>
        <w:t xml:space="preserve"> às 1</w:t>
      </w:r>
      <w:r w:rsidR="007F3E81">
        <w:rPr>
          <w:rFonts w:ascii="Tahoma" w:hAnsi="Tahoma" w:cs="Tahoma"/>
          <w:sz w:val="22"/>
        </w:rPr>
        <w:t>9h1</w:t>
      </w:r>
      <w:r w:rsidR="00A00085">
        <w:rPr>
          <w:rFonts w:ascii="Tahoma" w:hAnsi="Tahoma" w:cs="Tahoma"/>
          <w:sz w:val="22"/>
        </w:rPr>
        <w:t>0min.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1134"/>
        <w:gridCol w:w="4422"/>
      </w:tblGrid>
      <w:tr w:rsidR="00A00085" w:rsidTr="00A00085">
        <w:trPr>
          <w:trHeight w:val="850"/>
        </w:trPr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A00085" w:rsidRDefault="00A00085" w:rsidP="00F30C2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B32408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Rafael Castro</w:t>
            </w:r>
          </w:p>
        </w:tc>
        <w:tc>
          <w:tcPr>
            <w:tcW w:w="1134" w:type="dxa"/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A00085" w:rsidRPr="00A00085" w:rsidRDefault="00A00085" w:rsidP="00A00085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A00085">
              <w:rPr>
                <w:rFonts w:ascii="Tahoma" w:hAnsi="Tahoma" w:cs="Tahoma"/>
                <w:b/>
                <w:sz w:val="22"/>
              </w:rPr>
              <w:t>Alessandra Cristina Hoehn</w:t>
            </w:r>
          </w:p>
        </w:tc>
      </w:tr>
      <w:tr w:rsidR="00A00085" w:rsidTr="00A00085">
        <w:tc>
          <w:tcPr>
            <w:tcW w:w="4422" w:type="dxa"/>
          </w:tcPr>
          <w:p w:rsidR="00A00085" w:rsidRDefault="00B32408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Secretário do Comitê de Investimentos</w:t>
            </w: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Presidente do Comitê/Assessora Financeira</w:t>
            </w:r>
          </w:p>
        </w:tc>
      </w:tr>
      <w:tr w:rsidR="00A00085" w:rsidTr="00A00085"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</w:tcPr>
          <w:p w:rsidR="00A00085" w:rsidRDefault="00A00085" w:rsidP="00A00085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0085" w:rsidTr="00A35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85" w:rsidRDefault="00A00085" w:rsidP="000B2CB9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A00085" w:rsidRP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7B61F8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Gisele de Oliveira Fernandes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85" w:rsidRPr="00A00085" w:rsidRDefault="00A00085" w:rsidP="000B2CB9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Leonardo Silva Vianna</w:t>
            </w:r>
          </w:p>
        </w:tc>
      </w:tr>
      <w:tr w:rsidR="00A00085" w:rsidTr="00A00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7B61F8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A00085" w:rsidP="000B2CB9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00085" w:rsidRDefault="00D457F4" w:rsidP="000B2CB9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Membro do Comitê de Investimentos</w:t>
            </w:r>
          </w:p>
        </w:tc>
      </w:tr>
    </w:tbl>
    <w:p w:rsidR="00A00085" w:rsidRDefault="00A00085" w:rsidP="00F30C25">
      <w:pPr>
        <w:jc w:val="both"/>
        <w:rPr>
          <w:rFonts w:ascii="Tahoma" w:hAnsi="Tahoma" w:cs="Tahoma"/>
          <w:sz w:val="22"/>
        </w:rPr>
      </w:pPr>
    </w:p>
    <w:p w:rsidR="00A00085" w:rsidRPr="00A00085" w:rsidRDefault="00A00085" w:rsidP="00A35802">
      <w:pPr>
        <w:jc w:val="both"/>
        <w:rPr>
          <w:rFonts w:ascii="Tahoma" w:hAnsi="Tahoma" w:cs="Tahoma"/>
          <w:sz w:val="22"/>
        </w:rPr>
      </w:pPr>
    </w:p>
    <w:sectPr w:rsidR="00A00085" w:rsidRPr="00A00085" w:rsidSect="00F83869">
      <w:headerReference w:type="default" r:id="rId6"/>
      <w:footerReference w:type="default" r:id="rId7"/>
      <w:pgSz w:w="11907" w:h="16840" w:code="9"/>
      <w:pgMar w:top="270" w:right="1134" w:bottom="567" w:left="851" w:header="567" w:footer="2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11" w:rsidRDefault="008D4411">
      <w:r>
        <w:separator/>
      </w:r>
    </w:p>
  </w:endnote>
  <w:endnote w:type="continuationSeparator" w:id="0">
    <w:p w:rsidR="008D4411" w:rsidRDefault="008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3A" w:rsidRDefault="0098173A" w:rsidP="0098173A">
    <w:pPr>
      <w:pStyle w:val="Rodap"/>
      <w:jc w:val="center"/>
      <w:rPr>
        <w:rFonts w:ascii="Century Gothic" w:hAnsi="Century Gothic"/>
        <w:sz w:val="20"/>
      </w:rPr>
    </w:pPr>
    <w:r w:rsidRPr="0098173A">
      <w:rPr>
        <w:rFonts w:ascii="Century Gothic" w:hAnsi="Century Gothic"/>
        <w:b/>
        <w:sz w:val="20"/>
      </w:rPr>
      <w:t xml:space="preserve">“Doe Órgãos! Doe Sangue! Salve </w:t>
    </w:r>
    <w:proofErr w:type="gramStart"/>
    <w:r w:rsidRPr="0098173A">
      <w:rPr>
        <w:rFonts w:ascii="Century Gothic" w:hAnsi="Century Gothic"/>
        <w:b/>
        <w:sz w:val="20"/>
      </w:rPr>
      <w:t>Vidas!”</w:t>
    </w:r>
    <w:proofErr w:type="gramEnd"/>
    <w:r w:rsidRPr="0098173A">
      <w:rPr>
        <w:rFonts w:ascii="Century Gothic" w:hAnsi="Century Gothic"/>
        <w:sz w:val="20"/>
      </w:rPr>
      <w:t xml:space="preserve"> (Lei nº 2781/2013)</w:t>
    </w:r>
  </w:p>
  <w:p w:rsidR="0098173A" w:rsidRPr="0098173A" w:rsidRDefault="00A00085" w:rsidP="0098173A">
    <w:pPr>
      <w:pStyle w:val="Rodap"/>
      <w:jc w:val="center"/>
      <w:rPr>
        <w:rFonts w:ascii="Century Gothic" w:hAnsi="Century Gothic"/>
        <w:sz w:val="8"/>
      </w:rPr>
    </w:pPr>
    <w:r>
      <w:rPr>
        <w:rFonts w:ascii="Century Gothic" w:hAnsi="Century Gothic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4F3A878A" wp14:editId="136E96CC">
          <wp:simplePos x="0" y="0"/>
          <wp:positionH relativeFrom="column">
            <wp:posOffset>194945</wp:posOffset>
          </wp:positionH>
          <wp:positionV relativeFrom="paragraph">
            <wp:posOffset>50800</wp:posOffset>
          </wp:positionV>
          <wp:extent cx="1371600" cy="3810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73A">
      <w:rPr>
        <w:rFonts w:ascii="Century Gothic" w:hAnsi="Century Gothic"/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E168F" wp14:editId="0C3458AC">
              <wp:simplePos x="0" y="0"/>
              <wp:positionH relativeFrom="column">
                <wp:posOffset>90170</wp:posOffset>
              </wp:positionH>
              <wp:positionV relativeFrom="paragraph">
                <wp:posOffset>22225</wp:posOffset>
              </wp:positionV>
              <wp:extent cx="6300000" cy="0"/>
              <wp:effectExtent l="0" t="0" r="2476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82835B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1.75pt" to="503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" strokecolor="#76923c [2406]"/>
          </w:pict>
        </mc:Fallback>
      </mc:AlternateConten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b/>
        <w:sz w:val="18"/>
      </w:rPr>
    </w:pPr>
    <w:r w:rsidRPr="006C31B0">
      <w:rPr>
        <w:rFonts w:ascii="Century Gothic" w:hAnsi="Century Gothic"/>
        <w:b/>
        <w:sz w:val="18"/>
      </w:rPr>
      <w:t>Instituto de Previdência Social do Município de Navegantes</w:t>
    </w:r>
  </w:p>
  <w:p w:rsidR="004E41B6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 xml:space="preserve">Endereço: Av. Conselheiro João </w:t>
    </w:r>
    <w:proofErr w:type="spellStart"/>
    <w:r w:rsidRPr="006C31B0">
      <w:rPr>
        <w:rFonts w:ascii="Century Gothic" w:hAnsi="Century Gothic"/>
        <w:sz w:val="18"/>
      </w:rPr>
      <w:t>Gaya</w:t>
    </w:r>
    <w:proofErr w:type="spellEnd"/>
    <w:r w:rsidRPr="006C31B0">
      <w:rPr>
        <w:rFonts w:ascii="Century Gothic" w:hAnsi="Century Gothic"/>
        <w:sz w:val="18"/>
      </w:rPr>
      <w:t>, 295 - salas 2, 3, 4 e 5. Centro, Navegantes</w:t>
    </w:r>
  </w:p>
  <w:p w:rsidR="006C31B0" w:rsidRPr="006C31B0" w:rsidRDefault="006C31B0" w:rsidP="00A00085">
    <w:pPr>
      <w:pStyle w:val="Rodap"/>
      <w:ind w:left="2552"/>
      <w:rPr>
        <w:rFonts w:ascii="Century Gothic" w:hAnsi="Century Gothic"/>
        <w:sz w:val="18"/>
      </w:rPr>
    </w:pPr>
    <w:r w:rsidRPr="006C31B0">
      <w:rPr>
        <w:rFonts w:ascii="Century Gothic" w:hAnsi="Century Gothic"/>
        <w:sz w:val="18"/>
      </w:rPr>
      <w:t>CEP: 88.370.114 - Fone: 3342.3838 - E-mail: navegantesprev@navegantes.sc.gov.br</w:t>
    </w:r>
  </w:p>
  <w:p w:rsidR="00523366" w:rsidRDefault="005233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11" w:rsidRDefault="008D4411">
      <w:r>
        <w:separator/>
      </w:r>
    </w:p>
  </w:footnote>
  <w:footnote w:type="continuationSeparator" w:id="0">
    <w:p w:rsidR="008D4411" w:rsidRDefault="008D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  <w:gridCol w:w="2083"/>
    </w:tblGrid>
    <w:tr w:rsidR="00523366" w:rsidTr="004E41B6">
      <w:trPr>
        <w:trHeight w:val="922"/>
      </w:trPr>
      <w:tc>
        <w:tcPr>
          <w:tcW w:w="1149" w:type="dxa"/>
          <w:tcBorders>
            <w:top w:val="nil"/>
            <w:left w:val="nil"/>
            <w:bottom w:val="nil"/>
            <w:right w:val="nil"/>
          </w:tcBorders>
        </w:tcPr>
        <w:p w:rsidR="00523366" w:rsidRDefault="008868FE">
          <w:pPr>
            <w:jc w:val="center"/>
          </w:pPr>
          <w:r>
            <w:rPr>
              <w:noProof/>
            </w:rPr>
            <w:drawing>
              <wp:inline distT="0" distB="0" distL="0" distR="0" wp14:anchorId="60B4B95B" wp14:editId="1037D09F">
                <wp:extent cx="1954978" cy="544830"/>
                <wp:effectExtent l="0" t="0" r="762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Descrição: NAVEGANTES 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4978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3366" w:rsidRDefault="0052336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</w:rPr>
          </w:pPr>
        </w:p>
      </w:tc>
    </w:tr>
  </w:tbl>
  <w:p w:rsidR="00523366" w:rsidRDefault="0052336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0"/>
    <w:rsid w:val="00010F42"/>
    <w:rsid w:val="00011615"/>
    <w:rsid w:val="000136AE"/>
    <w:rsid w:val="00030C59"/>
    <w:rsid w:val="00030F35"/>
    <w:rsid w:val="00043927"/>
    <w:rsid w:val="0004579F"/>
    <w:rsid w:val="0005518B"/>
    <w:rsid w:val="00061AA6"/>
    <w:rsid w:val="0006730A"/>
    <w:rsid w:val="00071448"/>
    <w:rsid w:val="000751FE"/>
    <w:rsid w:val="0008028B"/>
    <w:rsid w:val="00081136"/>
    <w:rsid w:val="00083DB4"/>
    <w:rsid w:val="00085FC5"/>
    <w:rsid w:val="00090139"/>
    <w:rsid w:val="00090800"/>
    <w:rsid w:val="00090F45"/>
    <w:rsid w:val="000916C1"/>
    <w:rsid w:val="00094355"/>
    <w:rsid w:val="0009487C"/>
    <w:rsid w:val="000A019B"/>
    <w:rsid w:val="000A4A3F"/>
    <w:rsid w:val="000A5082"/>
    <w:rsid w:val="000A69DB"/>
    <w:rsid w:val="000B3D0C"/>
    <w:rsid w:val="000B440D"/>
    <w:rsid w:val="000B5001"/>
    <w:rsid w:val="000B5C68"/>
    <w:rsid w:val="000B74F6"/>
    <w:rsid w:val="000B7C94"/>
    <w:rsid w:val="000C39D7"/>
    <w:rsid w:val="000C4B37"/>
    <w:rsid w:val="000C65B0"/>
    <w:rsid w:val="000C7483"/>
    <w:rsid w:val="000E0B57"/>
    <w:rsid w:val="000E490A"/>
    <w:rsid w:val="000E4F90"/>
    <w:rsid w:val="000E77C1"/>
    <w:rsid w:val="000F3A18"/>
    <w:rsid w:val="000F4DE5"/>
    <w:rsid w:val="000F520C"/>
    <w:rsid w:val="00100D86"/>
    <w:rsid w:val="0010131A"/>
    <w:rsid w:val="001274E0"/>
    <w:rsid w:val="0013166C"/>
    <w:rsid w:val="00133F2D"/>
    <w:rsid w:val="0014181F"/>
    <w:rsid w:val="00142F6D"/>
    <w:rsid w:val="00144CDB"/>
    <w:rsid w:val="001452E3"/>
    <w:rsid w:val="001514DA"/>
    <w:rsid w:val="00157A80"/>
    <w:rsid w:val="00160545"/>
    <w:rsid w:val="0016350F"/>
    <w:rsid w:val="001670CD"/>
    <w:rsid w:val="00171C77"/>
    <w:rsid w:val="00174F0A"/>
    <w:rsid w:val="00177ABC"/>
    <w:rsid w:val="00180B6C"/>
    <w:rsid w:val="001823C4"/>
    <w:rsid w:val="00184D29"/>
    <w:rsid w:val="00187100"/>
    <w:rsid w:val="00187ACD"/>
    <w:rsid w:val="0019028F"/>
    <w:rsid w:val="00191CD9"/>
    <w:rsid w:val="00191F67"/>
    <w:rsid w:val="00194036"/>
    <w:rsid w:val="00196C57"/>
    <w:rsid w:val="001A038C"/>
    <w:rsid w:val="001A0CF4"/>
    <w:rsid w:val="001A2D87"/>
    <w:rsid w:val="001A4294"/>
    <w:rsid w:val="001A4EB6"/>
    <w:rsid w:val="001A6FCA"/>
    <w:rsid w:val="001A7FCE"/>
    <w:rsid w:val="001C257A"/>
    <w:rsid w:val="001C4AA3"/>
    <w:rsid w:val="001C50C0"/>
    <w:rsid w:val="001C56DC"/>
    <w:rsid w:val="001C669F"/>
    <w:rsid w:val="001D2428"/>
    <w:rsid w:val="001D643B"/>
    <w:rsid w:val="001E1720"/>
    <w:rsid w:val="001E343C"/>
    <w:rsid w:val="001E3A81"/>
    <w:rsid w:val="001E460F"/>
    <w:rsid w:val="001E55E3"/>
    <w:rsid w:val="001F0F30"/>
    <w:rsid w:val="00204A87"/>
    <w:rsid w:val="002059DD"/>
    <w:rsid w:val="00205A98"/>
    <w:rsid w:val="002074D0"/>
    <w:rsid w:val="00222523"/>
    <w:rsid w:val="00226DD9"/>
    <w:rsid w:val="00233D95"/>
    <w:rsid w:val="0023454F"/>
    <w:rsid w:val="00240ADD"/>
    <w:rsid w:val="002410D7"/>
    <w:rsid w:val="00243C7B"/>
    <w:rsid w:val="00243F1D"/>
    <w:rsid w:val="00247C5E"/>
    <w:rsid w:val="00255172"/>
    <w:rsid w:val="00270260"/>
    <w:rsid w:val="00274955"/>
    <w:rsid w:val="00282E3E"/>
    <w:rsid w:val="0028790B"/>
    <w:rsid w:val="002975FF"/>
    <w:rsid w:val="002A124A"/>
    <w:rsid w:val="002A535D"/>
    <w:rsid w:val="002B5C99"/>
    <w:rsid w:val="002B6B64"/>
    <w:rsid w:val="002B6D44"/>
    <w:rsid w:val="002C6CEC"/>
    <w:rsid w:val="002D2008"/>
    <w:rsid w:val="002E3396"/>
    <w:rsid w:val="002E74BB"/>
    <w:rsid w:val="002F3580"/>
    <w:rsid w:val="002F68F5"/>
    <w:rsid w:val="002F7F9E"/>
    <w:rsid w:val="00300039"/>
    <w:rsid w:val="00301C11"/>
    <w:rsid w:val="00304EA6"/>
    <w:rsid w:val="00312B43"/>
    <w:rsid w:val="00313E61"/>
    <w:rsid w:val="00314D37"/>
    <w:rsid w:val="00316924"/>
    <w:rsid w:val="0032509F"/>
    <w:rsid w:val="003310D8"/>
    <w:rsid w:val="0033424D"/>
    <w:rsid w:val="00334F0A"/>
    <w:rsid w:val="0033767E"/>
    <w:rsid w:val="00342D1C"/>
    <w:rsid w:val="003478F0"/>
    <w:rsid w:val="003500ED"/>
    <w:rsid w:val="003510AE"/>
    <w:rsid w:val="0035638B"/>
    <w:rsid w:val="003646C3"/>
    <w:rsid w:val="003648C0"/>
    <w:rsid w:val="003759A4"/>
    <w:rsid w:val="0038151A"/>
    <w:rsid w:val="0038264F"/>
    <w:rsid w:val="00383CEB"/>
    <w:rsid w:val="00384489"/>
    <w:rsid w:val="00384E41"/>
    <w:rsid w:val="003A26A9"/>
    <w:rsid w:val="003A44C9"/>
    <w:rsid w:val="003B064A"/>
    <w:rsid w:val="003B6227"/>
    <w:rsid w:val="003C43D8"/>
    <w:rsid w:val="003C5C85"/>
    <w:rsid w:val="003D0E62"/>
    <w:rsid w:val="003D2158"/>
    <w:rsid w:val="003D3B45"/>
    <w:rsid w:val="003E76C0"/>
    <w:rsid w:val="003E7802"/>
    <w:rsid w:val="003F1173"/>
    <w:rsid w:val="003F23C5"/>
    <w:rsid w:val="003F5D80"/>
    <w:rsid w:val="004054B2"/>
    <w:rsid w:val="004077D3"/>
    <w:rsid w:val="00411A60"/>
    <w:rsid w:val="00416BF1"/>
    <w:rsid w:val="004210AA"/>
    <w:rsid w:val="00422E54"/>
    <w:rsid w:val="00432022"/>
    <w:rsid w:val="00435D65"/>
    <w:rsid w:val="00442E00"/>
    <w:rsid w:val="0044506A"/>
    <w:rsid w:val="00450DDF"/>
    <w:rsid w:val="00452435"/>
    <w:rsid w:val="00454308"/>
    <w:rsid w:val="0045690D"/>
    <w:rsid w:val="00457C3A"/>
    <w:rsid w:val="00460B22"/>
    <w:rsid w:val="00461602"/>
    <w:rsid w:val="00463C35"/>
    <w:rsid w:val="00464DD6"/>
    <w:rsid w:val="00464F94"/>
    <w:rsid w:val="0046554B"/>
    <w:rsid w:val="00471EAE"/>
    <w:rsid w:val="0047774B"/>
    <w:rsid w:val="00486DC1"/>
    <w:rsid w:val="00490900"/>
    <w:rsid w:val="00494557"/>
    <w:rsid w:val="00495DA0"/>
    <w:rsid w:val="004B087A"/>
    <w:rsid w:val="004B5AA1"/>
    <w:rsid w:val="004B713F"/>
    <w:rsid w:val="004C56C5"/>
    <w:rsid w:val="004C7E28"/>
    <w:rsid w:val="004D4D8E"/>
    <w:rsid w:val="004E41B6"/>
    <w:rsid w:val="004F11DB"/>
    <w:rsid w:val="004F3C2B"/>
    <w:rsid w:val="004F76B1"/>
    <w:rsid w:val="005011D1"/>
    <w:rsid w:val="0050532A"/>
    <w:rsid w:val="00512584"/>
    <w:rsid w:val="00512706"/>
    <w:rsid w:val="00517B79"/>
    <w:rsid w:val="00521430"/>
    <w:rsid w:val="00523366"/>
    <w:rsid w:val="00523A82"/>
    <w:rsid w:val="00523C23"/>
    <w:rsid w:val="00524A1B"/>
    <w:rsid w:val="00526C6D"/>
    <w:rsid w:val="005349B8"/>
    <w:rsid w:val="00534D7A"/>
    <w:rsid w:val="0054048B"/>
    <w:rsid w:val="00541E35"/>
    <w:rsid w:val="005423E3"/>
    <w:rsid w:val="005432F8"/>
    <w:rsid w:val="0055200F"/>
    <w:rsid w:val="00553D0E"/>
    <w:rsid w:val="00560B9E"/>
    <w:rsid w:val="00561664"/>
    <w:rsid w:val="00562586"/>
    <w:rsid w:val="00564AC7"/>
    <w:rsid w:val="00572558"/>
    <w:rsid w:val="00573424"/>
    <w:rsid w:val="00580139"/>
    <w:rsid w:val="00581394"/>
    <w:rsid w:val="00583718"/>
    <w:rsid w:val="00594003"/>
    <w:rsid w:val="00595A8B"/>
    <w:rsid w:val="005A2EC5"/>
    <w:rsid w:val="005A60C8"/>
    <w:rsid w:val="005A7B28"/>
    <w:rsid w:val="005B0BBB"/>
    <w:rsid w:val="005B33CA"/>
    <w:rsid w:val="005C12E3"/>
    <w:rsid w:val="005C31BE"/>
    <w:rsid w:val="005C35B8"/>
    <w:rsid w:val="005C56C1"/>
    <w:rsid w:val="005D053A"/>
    <w:rsid w:val="005D3C7A"/>
    <w:rsid w:val="005D495A"/>
    <w:rsid w:val="005D6C34"/>
    <w:rsid w:val="005E33B4"/>
    <w:rsid w:val="005E71A8"/>
    <w:rsid w:val="005F756C"/>
    <w:rsid w:val="005F75D7"/>
    <w:rsid w:val="006002DB"/>
    <w:rsid w:val="0060190F"/>
    <w:rsid w:val="006034D6"/>
    <w:rsid w:val="0060665E"/>
    <w:rsid w:val="00614D27"/>
    <w:rsid w:val="006161C1"/>
    <w:rsid w:val="00616FF8"/>
    <w:rsid w:val="00617F83"/>
    <w:rsid w:val="00624910"/>
    <w:rsid w:val="0062519B"/>
    <w:rsid w:val="00626377"/>
    <w:rsid w:val="00630AB6"/>
    <w:rsid w:val="006349BB"/>
    <w:rsid w:val="006360AF"/>
    <w:rsid w:val="00643920"/>
    <w:rsid w:val="006447A8"/>
    <w:rsid w:val="00647F1B"/>
    <w:rsid w:val="006605C9"/>
    <w:rsid w:val="00667ADA"/>
    <w:rsid w:val="00667DC5"/>
    <w:rsid w:val="00673BC6"/>
    <w:rsid w:val="00685395"/>
    <w:rsid w:val="00687E3F"/>
    <w:rsid w:val="00691992"/>
    <w:rsid w:val="006A5D73"/>
    <w:rsid w:val="006A6F58"/>
    <w:rsid w:val="006B4EAB"/>
    <w:rsid w:val="006B783F"/>
    <w:rsid w:val="006C31B0"/>
    <w:rsid w:val="006C7460"/>
    <w:rsid w:val="006D48C5"/>
    <w:rsid w:val="006E0D62"/>
    <w:rsid w:val="006E5237"/>
    <w:rsid w:val="006F3E6C"/>
    <w:rsid w:val="006F4282"/>
    <w:rsid w:val="0070404E"/>
    <w:rsid w:val="00704C55"/>
    <w:rsid w:val="00704E5A"/>
    <w:rsid w:val="00716736"/>
    <w:rsid w:val="00717780"/>
    <w:rsid w:val="00721838"/>
    <w:rsid w:val="0072243C"/>
    <w:rsid w:val="007271A3"/>
    <w:rsid w:val="00734F95"/>
    <w:rsid w:val="0074071D"/>
    <w:rsid w:val="00755E91"/>
    <w:rsid w:val="007562DB"/>
    <w:rsid w:val="0075738D"/>
    <w:rsid w:val="00762053"/>
    <w:rsid w:val="007641E5"/>
    <w:rsid w:val="00766397"/>
    <w:rsid w:val="00767598"/>
    <w:rsid w:val="0077277D"/>
    <w:rsid w:val="00775530"/>
    <w:rsid w:val="00776D89"/>
    <w:rsid w:val="00776D9D"/>
    <w:rsid w:val="007834F0"/>
    <w:rsid w:val="0078361D"/>
    <w:rsid w:val="00784090"/>
    <w:rsid w:val="00792F50"/>
    <w:rsid w:val="00795C98"/>
    <w:rsid w:val="007A20AD"/>
    <w:rsid w:val="007A64B8"/>
    <w:rsid w:val="007B16AE"/>
    <w:rsid w:val="007B441D"/>
    <w:rsid w:val="007B61F8"/>
    <w:rsid w:val="007C2538"/>
    <w:rsid w:val="007D1E3D"/>
    <w:rsid w:val="007D46C2"/>
    <w:rsid w:val="007D7099"/>
    <w:rsid w:val="007E2DD8"/>
    <w:rsid w:val="007E43DE"/>
    <w:rsid w:val="007E6F3F"/>
    <w:rsid w:val="007F3E81"/>
    <w:rsid w:val="00800F7B"/>
    <w:rsid w:val="00804060"/>
    <w:rsid w:val="008104A9"/>
    <w:rsid w:val="008104C8"/>
    <w:rsid w:val="008227C6"/>
    <w:rsid w:val="0083125D"/>
    <w:rsid w:val="0083145C"/>
    <w:rsid w:val="00834068"/>
    <w:rsid w:val="00836069"/>
    <w:rsid w:val="00836AAF"/>
    <w:rsid w:val="008400D8"/>
    <w:rsid w:val="00840CCC"/>
    <w:rsid w:val="00851972"/>
    <w:rsid w:val="008554D8"/>
    <w:rsid w:val="008571B6"/>
    <w:rsid w:val="008607EB"/>
    <w:rsid w:val="00860DE4"/>
    <w:rsid w:val="0086647E"/>
    <w:rsid w:val="00867557"/>
    <w:rsid w:val="00872127"/>
    <w:rsid w:val="008764C1"/>
    <w:rsid w:val="008771ED"/>
    <w:rsid w:val="0088397A"/>
    <w:rsid w:val="008862FB"/>
    <w:rsid w:val="008868FE"/>
    <w:rsid w:val="0089465F"/>
    <w:rsid w:val="00896CF6"/>
    <w:rsid w:val="00897355"/>
    <w:rsid w:val="008A05B8"/>
    <w:rsid w:val="008B6B41"/>
    <w:rsid w:val="008C2EA3"/>
    <w:rsid w:val="008D4275"/>
    <w:rsid w:val="008D4411"/>
    <w:rsid w:val="008D64CA"/>
    <w:rsid w:val="008D73FB"/>
    <w:rsid w:val="008D7AFB"/>
    <w:rsid w:val="008E0784"/>
    <w:rsid w:val="008E1FF8"/>
    <w:rsid w:val="008E2F98"/>
    <w:rsid w:val="008E657B"/>
    <w:rsid w:val="008F7E6A"/>
    <w:rsid w:val="00900E19"/>
    <w:rsid w:val="0090358E"/>
    <w:rsid w:val="00910F70"/>
    <w:rsid w:val="00912524"/>
    <w:rsid w:val="00912E70"/>
    <w:rsid w:val="00916430"/>
    <w:rsid w:val="00921C47"/>
    <w:rsid w:val="00924621"/>
    <w:rsid w:val="00926027"/>
    <w:rsid w:val="00926F48"/>
    <w:rsid w:val="00927CF5"/>
    <w:rsid w:val="00930371"/>
    <w:rsid w:val="009341F8"/>
    <w:rsid w:val="00935B9F"/>
    <w:rsid w:val="00937D74"/>
    <w:rsid w:val="009417B5"/>
    <w:rsid w:val="00942A8F"/>
    <w:rsid w:val="00953617"/>
    <w:rsid w:val="009543C6"/>
    <w:rsid w:val="00961D5F"/>
    <w:rsid w:val="00976899"/>
    <w:rsid w:val="00976EB1"/>
    <w:rsid w:val="0098173A"/>
    <w:rsid w:val="009B16E2"/>
    <w:rsid w:val="009B2D00"/>
    <w:rsid w:val="009B3552"/>
    <w:rsid w:val="009B7680"/>
    <w:rsid w:val="009D1456"/>
    <w:rsid w:val="009D6669"/>
    <w:rsid w:val="009E0372"/>
    <w:rsid w:val="009E1EE0"/>
    <w:rsid w:val="009E2826"/>
    <w:rsid w:val="009E738A"/>
    <w:rsid w:val="009F1AC4"/>
    <w:rsid w:val="009F34A2"/>
    <w:rsid w:val="009F627D"/>
    <w:rsid w:val="00A00085"/>
    <w:rsid w:val="00A05D71"/>
    <w:rsid w:val="00A11113"/>
    <w:rsid w:val="00A12F2C"/>
    <w:rsid w:val="00A1406C"/>
    <w:rsid w:val="00A226AA"/>
    <w:rsid w:val="00A25B30"/>
    <w:rsid w:val="00A263CD"/>
    <w:rsid w:val="00A3056D"/>
    <w:rsid w:val="00A3086A"/>
    <w:rsid w:val="00A30D66"/>
    <w:rsid w:val="00A332E4"/>
    <w:rsid w:val="00A35802"/>
    <w:rsid w:val="00A403FF"/>
    <w:rsid w:val="00A43AE0"/>
    <w:rsid w:val="00A5522D"/>
    <w:rsid w:val="00A567CD"/>
    <w:rsid w:val="00A56867"/>
    <w:rsid w:val="00A62FDA"/>
    <w:rsid w:val="00A65001"/>
    <w:rsid w:val="00A6567E"/>
    <w:rsid w:val="00A70965"/>
    <w:rsid w:val="00A72452"/>
    <w:rsid w:val="00A729E7"/>
    <w:rsid w:val="00A80F81"/>
    <w:rsid w:val="00A82AC5"/>
    <w:rsid w:val="00A846E2"/>
    <w:rsid w:val="00A85498"/>
    <w:rsid w:val="00A85A3D"/>
    <w:rsid w:val="00A93334"/>
    <w:rsid w:val="00A946CE"/>
    <w:rsid w:val="00A96BBC"/>
    <w:rsid w:val="00AA587E"/>
    <w:rsid w:val="00AA78A4"/>
    <w:rsid w:val="00AA78AE"/>
    <w:rsid w:val="00AB08C3"/>
    <w:rsid w:val="00AB56DA"/>
    <w:rsid w:val="00AB6683"/>
    <w:rsid w:val="00AC742A"/>
    <w:rsid w:val="00AC7689"/>
    <w:rsid w:val="00AD2553"/>
    <w:rsid w:val="00AE19DC"/>
    <w:rsid w:val="00AF66A2"/>
    <w:rsid w:val="00B025C5"/>
    <w:rsid w:val="00B0562F"/>
    <w:rsid w:val="00B10C32"/>
    <w:rsid w:val="00B12934"/>
    <w:rsid w:val="00B12E98"/>
    <w:rsid w:val="00B13541"/>
    <w:rsid w:val="00B17B44"/>
    <w:rsid w:val="00B20515"/>
    <w:rsid w:val="00B22993"/>
    <w:rsid w:val="00B22D94"/>
    <w:rsid w:val="00B232E6"/>
    <w:rsid w:val="00B24714"/>
    <w:rsid w:val="00B268DC"/>
    <w:rsid w:val="00B30714"/>
    <w:rsid w:val="00B30CFD"/>
    <w:rsid w:val="00B30D32"/>
    <w:rsid w:val="00B32408"/>
    <w:rsid w:val="00B3362F"/>
    <w:rsid w:val="00B3732F"/>
    <w:rsid w:val="00B40B4B"/>
    <w:rsid w:val="00B438BA"/>
    <w:rsid w:val="00B4425F"/>
    <w:rsid w:val="00B56A21"/>
    <w:rsid w:val="00B65892"/>
    <w:rsid w:val="00B71A61"/>
    <w:rsid w:val="00B758AF"/>
    <w:rsid w:val="00B812ED"/>
    <w:rsid w:val="00B87EC6"/>
    <w:rsid w:val="00B93CDF"/>
    <w:rsid w:val="00BA0CEB"/>
    <w:rsid w:val="00BA0EF6"/>
    <w:rsid w:val="00BA3F67"/>
    <w:rsid w:val="00BA50C1"/>
    <w:rsid w:val="00BB08BA"/>
    <w:rsid w:val="00BB4653"/>
    <w:rsid w:val="00BC75D6"/>
    <w:rsid w:val="00BC7799"/>
    <w:rsid w:val="00BD2110"/>
    <w:rsid w:val="00BD29F4"/>
    <w:rsid w:val="00BD34C8"/>
    <w:rsid w:val="00BD46AF"/>
    <w:rsid w:val="00BD6E1A"/>
    <w:rsid w:val="00BE70E7"/>
    <w:rsid w:val="00BE7D97"/>
    <w:rsid w:val="00BF1C7B"/>
    <w:rsid w:val="00C00120"/>
    <w:rsid w:val="00C048D0"/>
    <w:rsid w:val="00C05A62"/>
    <w:rsid w:val="00C110E9"/>
    <w:rsid w:val="00C177AB"/>
    <w:rsid w:val="00C2223D"/>
    <w:rsid w:val="00C42826"/>
    <w:rsid w:val="00C52037"/>
    <w:rsid w:val="00C7307C"/>
    <w:rsid w:val="00C86350"/>
    <w:rsid w:val="00C90322"/>
    <w:rsid w:val="00C91A81"/>
    <w:rsid w:val="00C91C4D"/>
    <w:rsid w:val="00C928D1"/>
    <w:rsid w:val="00C96487"/>
    <w:rsid w:val="00CA461F"/>
    <w:rsid w:val="00CA4AB3"/>
    <w:rsid w:val="00CA53C4"/>
    <w:rsid w:val="00CA6228"/>
    <w:rsid w:val="00CA7526"/>
    <w:rsid w:val="00CB4359"/>
    <w:rsid w:val="00CD4BF6"/>
    <w:rsid w:val="00CD540B"/>
    <w:rsid w:val="00CE659E"/>
    <w:rsid w:val="00CF5EDC"/>
    <w:rsid w:val="00CF650B"/>
    <w:rsid w:val="00CF6DB8"/>
    <w:rsid w:val="00D0147A"/>
    <w:rsid w:val="00D04BC2"/>
    <w:rsid w:val="00D07EB3"/>
    <w:rsid w:val="00D11E80"/>
    <w:rsid w:val="00D13242"/>
    <w:rsid w:val="00D14A1F"/>
    <w:rsid w:val="00D22713"/>
    <w:rsid w:val="00D22C08"/>
    <w:rsid w:val="00D23525"/>
    <w:rsid w:val="00D26232"/>
    <w:rsid w:val="00D361E3"/>
    <w:rsid w:val="00D40C52"/>
    <w:rsid w:val="00D40CED"/>
    <w:rsid w:val="00D457F4"/>
    <w:rsid w:val="00D45B25"/>
    <w:rsid w:val="00D467C1"/>
    <w:rsid w:val="00D519A4"/>
    <w:rsid w:val="00D553F3"/>
    <w:rsid w:val="00D56DD7"/>
    <w:rsid w:val="00D60353"/>
    <w:rsid w:val="00D66DC9"/>
    <w:rsid w:val="00D7101E"/>
    <w:rsid w:val="00D72B15"/>
    <w:rsid w:val="00D76B85"/>
    <w:rsid w:val="00D8096D"/>
    <w:rsid w:val="00D84C51"/>
    <w:rsid w:val="00D87DF0"/>
    <w:rsid w:val="00D91C97"/>
    <w:rsid w:val="00D94F8E"/>
    <w:rsid w:val="00DA12A4"/>
    <w:rsid w:val="00DA49E9"/>
    <w:rsid w:val="00DB0522"/>
    <w:rsid w:val="00DB0C74"/>
    <w:rsid w:val="00DB2093"/>
    <w:rsid w:val="00DB6880"/>
    <w:rsid w:val="00DC224A"/>
    <w:rsid w:val="00DC3F4C"/>
    <w:rsid w:val="00DD5088"/>
    <w:rsid w:val="00DE11AD"/>
    <w:rsid w:val="00DE3442"/>
    <w:rsid w:val="00DE42EC"/>
    <w:rsid w:val="00DE6F99"/>
    <w:rsid w:val="00DE719F"/>
    <w:rsid w:val="00DE7E7F"/>
    <w:rsid w:val="00DF0561"/>
    <w:rsid w:val="00DF0F06"/>
    <w:rsid w:val="00DF163A"/>
    <w:rsid w:val="00DF198D"/>
    <w:rsid w:val="00DF5A4D"/>
    <w:rsid w:val="00DF5AAE"/>
    <w:rsid w:val="00E05AA1"/>
    <w:rsid w:val="00E0600A"/>
    <w:rsid w:val="00E068D4"/>
    <w:rsid w:val="00E10630"/>
    <w:rsid w:val="00E13252"/>
    <w:rsid w:val="00E173BA"/>
    <w:rsid w:val="00E17856"/>
    <w:rsid w:val="00E22CB8"/>
    <w:rsid w:val="00E23AA1"/>
    <w:rsid w:val="00E24A92"/>
    <w:rsid w:val="00E2549B"/>
    <w:rsid w:val="00E51976"/>
    <w:rsid w:val="00E51D86"/>
    <w:rsid w:val="00E57236"/>
    <w:rsid w:val="00E74F1E"/>
    <w:rsid w:val="00E777CB"/>
    <w:rsid w:val="00E83B6D"/>
    <w:rsid w:val="00E84993"/>
    <w:rsid w:val="00E90EC6"/>
    <w:rsid w:val="00E93404"/>
    <w:rsid w:val="00E95E75"/>
    <w:rsid w:val="00EA245A"/>
    <w:rsid w:val="00EA4C56"/>
    <w:rsid w:val="00EB7C0D"/>
    <w:rsid w:val="00EC00AD"/>
    <w:rsid w:val="00EC3483"/>
    <w:rsid w:val="00ED24A0"/>
    <w:rsid w:val="00ED2A70"/>
    <w:rsid w:val="00ED34CB"/>
    <w:rsid w:val="00ED49EA"/>
    <w:rsid w:val="00EE00AE"/>
    <w:rsid w:val="00EE15BB"/>
    <w:rsid w:val="00EE61CD"/>
    <w:rsid w:val="00EF2C69"/>
    <w:rsid w:val="00EF6E12"/>
    <w:rsid w:val="00F120F4"/>
    <w:rsid w:val="00F12BF6"/>
    <w:rsid w:val="00F12C13"/>
    <w:rsid w:val="00F13E33"/>
    <w:rsid w:val="00F16C24"/>
    <w:rsid w:val="00F17C0D"/>
    <w:rsid w:val="00F23DD7"/>
    <w:rsid w:val="00F263F7"/>
    <w:rsid w:val="00F30C25"/>
    <w:rsid w:val="00F31DE2"/>
    <w:rsid w:val="00F343A6"/>
    <w:rsid w:val="00F50A87"/>
    <w:rsid w:val="00F53F7B"/>
    <w:rsid w:val="00F6128C"/>
    <w:rsid w:val="00F67CB5"/>
    <w:rsid w:val="00F71C91"/>
    <w:rsid w:val="00F71E48"/>
    <w:rsid w:val="00F72111"/>
    <w:rsid w:val="00F76302"/>
    <w:rsid w:val="00F77EBF"/>
    <w:rsid w:val="00F83869"/>
    <w:rsid w:val="00F8542F"/>
    <w:rsid w:val="00F9312B"/>
    <w:rsid w:val="00FA52E0"/>
    <w:rsid w:val="00FA5A88"/>
    <w:rsid w:val="00FA653B"/>
    <w:rsid w:val="00FB0FB6"/>
    <w:rsid w:val="00FB604A"/>
    <w:rsid w:val="00FB7794"/>
    <w:rsid w:val="00FE0321"/>
    <w:rsid w:val="00FF2263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51029C"/>
  <w15:docId w15:val="{6474C4C9-42CD-411F-AA63-7343CB2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i/>
      <w:iCs/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i/>
      <w:iCs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54048B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ind w:firstLine="567"/>
      <w:jc w:val="both"/>
    </w:pPr>
    <w:rPr>
      <w:rFonts w:ascii="Arial" w:hAnsi="Arial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3A44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E343C"/>
    <w:rPr>
      <w:sz w:val="24"/>
    </w:rPr>
  </w:style>
  <w:style w:type="character" w:customStyle="1" w:styleId="RodapChar">
    <w:name w:val="Rodapé Char"/>
    <w:link w:val="Rodap"/>
    <w:uiPriority w:val="99"/>
    <w:rsid w:val="004E41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-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 Novo</Template>
  <TotalTime>493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Navegantes</Company>
  <LinksUpToDate>false</LinksUpToDate>
  <CharactersWithSpaces>3001</CharactersWithSpaces>
  <SharedDoc>false</SharedDoc>
  <HLinks>
    <vt:vector size="6" baseType="variant">
      <vt:variant>
        <vt:i4>2621460</vt:i4>
      </vt:variant>
      <vt:variant>
        <vt:i4>3060</vt:i4>
      </vt:variant>
      <vt:variant>
        <vt:i4>1025</vt:i4>
      </vt:variant>
      <vt:variant>
        <vt:i4>1</vt:i4>
      </vt:variant>
      <vt:variant>
        <vt:lpwstr>cid:image001.jpg@01CE1697.78F555A0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NavegantesPrev</dc:creator>
  <cp:lastModifiedBy>Rafael Castro</cp:lastModifiedBy>
  <cp:revision>35</cp:revision>
  <cp:lastPrinted>2017-10-09T20:18:00Z</cp:lastPrinted>
  <dcterms:created xsi:type="dcterms:W3CDTF">2016-09-28T18:22:00Z</dcterms:created>
  <dcterms:modified xsi:type="dcterms:W3CDTF">2018-02-19T17:09:00Z</dcterms:modified>
</cp:coreProperties>
</file>